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DD8A6" w14:textId="77777777" w:rsidR="003B02DF" w:rsidRDefault="003B02DF" w:rsidP="00DC6FF8">
      <w:pPr>
        <w:jc w:val="center"/>
        <w:rPr>
          <w:rFonts w:ascii="Times New Roman" w:hAnsi="Times New Roman" w:cs="Times New Roman"/>
          <w:b/>
          <w:bCs/>
          <w:caps/>
          <w:color w:val="000000" w:themeColor="text1"/>
          <w:lang w:val="en-US"/>
        </w:rPr>
      </w:pPr>
      <w:r w:rsidRPr="003B02DF">
        <w:rPr>
          <w:rFonts w:ascii="Times New Roman" w:hAnsi="Times New Roman" w:cs="Times New Roman"/>
          <w:b/>
          <w:bCs/>
          <w:caps/>
          <w:color w:val="000000" w:themeColor="text1"/>
        </w:rPr>
        <w:t>SUMMARY OF LEGAL DOCUMENTS</w:t>
      </w:r>
    </w:p>
    <w:p w14:paraId="1108CED2" w14:textId="5B566284" w:rsidR="004D7ED5" w:rsidRDefault="003B02DF" w:rsidP="00D76AE5">
      <w:pPr>
        <w:jc w:val="center"/>
        <w:rPr>
          <w:rFonts w:ascii="Times New Roman" w:hAnsi="Times New Roman" w:cs="Times New Roman"/>
          <w:b/>
          <w:bCs/>
          <w:caps/>
          <w:color w:val="000000" w:themeColor="text1"/>
          <w:lang w:val="en-US"/>
        </w:rPr>
      </w:pPr>
      <w:r w:rsidRPr="003B02DF">
        <w:rPr>
          <w:rFonts w:ascii="Times New Roman" w:hAnsi="Times New Roman" w:cs="Times New Roman"/>
          <w:b/>
          <w:bCs/>
          <w:caps/>
          <w:color w:val="000000" w:themeColor="text1"/>
        </w:rPr>
        <w:t xml:space="preserve">PROFESSIONAL NEWSLETTER FOR </w:t>
      </w:r>
      <w:r w:rsidR="00D76AE5" w:rsidRPr="00D76AE5">
        <w:rPr>
          <w:rFonts w:ascii="Times New Roman" w:hAnsi="Times New Roman" w:cs="Times New Roman"/>
          <w:b/>
          <w:bCs/>
          <w:caps/>
          <w:color w:val="000000" w:themeColor="text1"/>
        </w:rPr>
        <w:t>AUGUST 2026</w:t>
      </w:r>
    </w:p>
    <w:p w14:paraId="1D958945" w14:textId="77777777" w:rsidR="00D76AE5" w:rsidRPr="00D76AE5" w:rsidRDefault="00D76AE5" w:rsidP="00D76AE5">
      <w:pPr>
        <w:jc w:val="center"/>
        <w:rPr>
          <w:rFonts w:ascii="Times New Roman" w:hAnsi="Times New Roman" w:cs="Times New Roman"/>
          <w:b/>
          <w:bCs/>
          <w:caps/>
          <w:color w:val="000000" w:themeColor="text1"/>
          <w:lang w:val="en-US"/>
        </w:rPr>
      </w:pPr>
    </w:p>
    <w:p w14:paraId="2972940D" w14:textId="7191C4E0" w:rsidR="00097F5D" w:rsidRPr="00444429" w:rsidRDefault="003B02DF" w:rsidP="00DC6FF8">
      <w:pPr>
        <w:spacing w:after="0"/>
        <w:jc w:val="both"/>
        <w:rPr>
          <w:rFonts w:ascii="Times New Roman" w:hAnsi="Times New Roman" w:cs="Times New Roman"/>
          <w:b/>
          <w:bCs/>
          <w:caps/>
          <w:color w:val="000000" w:themeColor="text1"/>
        </w:rPr>
      </w:pPr>
      <w:r w:rsidRPr="003B02DF">
        <w:rPr>
          <w:rFonts w:ascii="Times New Roman" w:hAnsi="Times New Roman" w:cs="Times New Roman"/>
          <w:b/>
          <w:bCs/>
          <w:caps/>
          <w:color w:val="000000" w:themeColor="text1"/>
        </w:rPr>
        <w:t>INTRODUCTORY SECTION:</w:t>
      </w:r>
    </w:p>
    <w:p w14:paraId="192EDB72" w14:textId="77777777" w:rsidR="00D76AE5" w:rsidRPr="00D76AE5" w:rsidRDefault="00D76AE5" w:rsidP="00D76AE5">
      <w:pPr>
        <w:jc w:val="both"/>
        <w:rPr>
          <w:rFonts w:ascii="Times New Roman" w:hAnsi="Times New Roman" w:cs="Times New Roman"/>
          <w:color w:val="000000" w:themeColor="text1"/>
          <w:lang w:val="en-US"/>
        </w:rPr>
      </w:pPr>
      <w:r w:rsidRPr="00D76AE5">
        <w:rPr>
          <w:rFonts w:ascii="Times New Roman" w:hAnsi="Times New Roman" w:cs="Times New Roman"/>
          <w:color w:val="000000" w:themeColor="text1"/>
          <w:lang w:val="en-US"/>
        </w:rPr>
        <w:t>August 2026 saw a number of significant legal developments in the areas of tax, fees and charges, accounting and auditing, and enterprises and investment. Key highlights include new regulations on duty-free business and the management of duty-free goods; amendments to regulations on independent auditing of credit institutions and foreign bank branches; procedures for registration and cancellation of public company status; lending activities for overseas investment; investor selection for investment and business projects; and the Vietnam Product Classification System.</w:t>
      </w:r>
    </w:p>
    <w:p w14:paraId="1E61986C" w14:textId="41F2DC80" w:rsidR="003B02DF" w:rsidRPr="003B02DF" w:rsidRDefault="003B02DF" w:rsidP="00DC6FF8">
      <w:pPr>
        <w:jc w:val="both"/>
        <w:rPr>
          <w:rFonts w:ascii="Times New Roman" w:hAnsi="Times New Roman" w:cs="Times New Roman"/>
          <w:b/>
          <w:bCs/>
          <w:caps/>
          <w:color w:val="000000" w:themeColor="text1"/>
          <w:lang w:val="en-US"/>
        </w:rPr>
      </w:pPr>
      <w:r w:rsidRPr="003B02DF">
        <w:rPr>
          <w:rFonts w:ascii="Times New Roman" w:hAnsi="Times New Roman" w:cs="Times New Roman"/>
          <w:b/>
          <w:bCs/>
          <w:caps/>
          <w:color w:val="000000" w:themeColor="text1"/>
        </w:rPr>
        <w:t>SUMMARY TABLE:</w:t>
      </w:r>
    </w:p>
    <w:tbl>
      <w:tblPr>
        <w:tblStyle w:val="TableGrid"/>
        <w:tblW w:w="14318" w:type="dxa"/>
        <w:tblInd w:w="-714" w:type="dxa"/>
        <w:tblLook w:val="04A0" w:firstRow="1" w:lastRow="0" w:firstColumn="1" w:lastColumn="0" w:noHBand="0" w:noVBand="1"/>
      </w:tblPr>
      <w:tblGrid>
        <w:gridCol w:w="644"/>
        <w:gridCol w:w="6445"/>
        <w:gridCol w:w="7229"/>
      </w:tblGrid>
      <w:tr w:rsidR="00412D76" w:rsidRPr="00444429" w14:paraId="08EB345A" w14:textId="77777777" w:rsidTr="00DC6FF8">
        <w:trPr>
          <w:trHeight w:val="58"/>
        </w:trPr>
        <w:tc>
          <w:tcPr>
            <w:tcW w:w="644" w:type="dxa"/>
          </w:tcPr>
          <w:p w14:paraId="44B83B2B" w14:textId="268C99E3" w:rsidR="00BA6237" w:rsidRPr="00444429" w:rsidRDefault="003B02DF" w:rsidP="00DC6FF8">
            <w:pPr>
              <w:jc w:val="center"/>
              <w:rPr>
                <w:rFonts w:ascii="Times New Roman" w:hAnsi="Times New Roman" w:cs="Times New Roman"/>
                <w:b/>
                <w:bCs/>
                <w:i/>
                <w:iCs/>
                <w:color w:val="000000" w:themeColor="text1"/>
              </w:rPr>
            </w:pPr>
            <w:bookmarkStart w:id="0" w:name="_Hlk234336809"/>
            <w:r w:rsidRPr="003B02DF">
              <w:rPr>
                <w:rFonts w:ascii="Times New Roman" w:hAnsi="Times New Roman" w:cs="Times New Roman"/>
                <w:b/>
                <w:bCs/>
                <w:i/>
                <w:iCs/>
                <w:color w:val="000000" w:themeColor="text1"/>
              </w:rPr>
              <w:t>No.</w:t>
            </w:r>
          </w:p>
        </w:tc>
        <w:tc>
          <w:tcPr>
            <w:tcW w:w="6445" w:type="dxa"/>
          </w:tcPr>
          <w:p w14:paraId="6AC2B630" w14:textId="5318E8B4" w:rsidR="00BA6237" w:rsidRPr="00444429" w:rsidRDefault="003B02DF" w:rsidP="00DC6FF8">
            <w:pPr>
              <w:jc w:val="center"/>
              <w:rPr>
                <w:rFonts w:ascii="Times New Roman" w:hAnsi="Times New Roman" w:cs="Times New Roman"/>
                <w:b/>
                <w:bCs/>
                <w:i/>
                <w:iCs/>
                <w:color w:val="000000" w:themeColor="text1"/>
              </w:rPr>
            </w:pPr>
            <w:r w:rsidRPr="003B02DF">
              <w:rPr>
                <w:rFonts w:ascii="Times New Roman" w:hAnsi="Times New Roman" w:cs="Times New Roman"/>
                <w:b/>
                <w:bCs/>
                <w:i/>
                <w:iCs/>
                <w:color w:val="000000" w:themeColor="text1"/>
              </w:rPr>
              <w:t>Title, reference number, date of issuance and effective date</w:t>
            </w:r>
          </w:p>
        </w:tc>
        <w:tc>
          <w:tcPr>
            <w:tcW w:w="7229" w:type="dxa"/>
          </w:tcPr>
          <w:p w14:paraId="4AD439E9" w14:textId="242AFDE7" w:rsidR="00BA6237" w:rsidRPr="00444429" w:rsidRDefault="003B02DF" w:rsidP="00DC6FF8">
            <w:pPr>
              <w:jc w:val="center"/>
              <w:rPr>
                <w:rFonts w:ascii="Times New Roman" w:hAnsi="Times New Roman" w:cs="Times New Roman"/>
                <w:b/>
                <w:bCs/>
                <w:i/>
                <w:iCs/>
                <w:color w:val="000000" w:themeColor="text1"/>
              </w:rPr>
            </w:pPr>
            <w:r w:rsidRPr="003B02DF">
              <w:rPr>
                <w:rFonts w:ascii="Times New Roman" w:hAnsi="Times New Roman" w:cs="Times New Roman"/>
                <w:b/>
                <w:bCs/>
                <w:i/>
                <w:iCs/>
                <w:color w:val="000000" w:themeColor="text1"/>
              </w:rPr>
              <w:t>Content</w:t>
            </w:r>
          </w:p>
        </w:tc>
      </w:tr>
      <w:tr w:rsidR="00412D76" w:rsidRPr="00444429" w14:paraId="5ED438E5" w14:textId="77777777" w:rsidTr="00DC6FF8">
        <w:trPr>
          <w:trHeight w:val="711"/>
        </w:trPr>
        <w:tc>
          <w:tcPr>
            <w:tcW w:w="14318" w:type="dxa"/>
            <w:gridSpan w:val="3"/>
            <w:vAlign w:val="center"/>
          </w:tcPr>
          <w:p w14:paraId="2D52F21C" w14:textId="4029ECC9" w:rsidR="00BA6237" w:rsidRPr="00444429" w:rsidRDefault="003B02DF" w:rsidP="00DC6FF8">
            <w:pPr>
              <w:jc w:val="center"/>
              <w:rPr>
                <w:rFonts w:ascii="Times New Roman" w:hAnsi="Times New Roman" w:cs="Times New Roman"/>
                <w:b/>
                <w:bCs/>
                <w:i/>
                <w:iCs/>
                <w:color w:val="000000" w:themeColor="text1"/>
              </w:rPr>
            </w:pPr>
            <w:r w:rsidRPr="003B02DF">
              <w:rPr>
                <w:rFonts w:ascii="Times New Roman" w:hAnsi="Times New Roman" w:cs="Times New Roman"/>
                <w:b/>
                <w:bCs/>
                <w:i/>
                <w:iCs/>
                <w:color w:val="000000" w:themeColor="text1"/>
              </w:rPr>
              <w:t xml:space="preserve">PART I: </w:t>
            </w:r>
            <w:r w:rsidR="00D76AE5" w:rsidRPr="00D76AE5">
              <w:rPr>
                <w:rFonts w:ascii="Times New Roman" w:hAnsi="Times New Roman" w:cs="Times New Roman"/>
                <w:b/>
                <w:bCs/>
                <w:i/>
                <w:iCs/>
                <w:color w:val="000000" w:themeColor="text1"/>
              </w:rPr>
              <w:t>TAX, FEES AND CHARGES POLICIES</w:t>
            </w:r>
          </w:p>
        </w:tc>
      </w:tr>
      <w:tr w:rsidR="00412D76" w:rsidRPr="00444429" w14:paraId="416891CC" w14:textId="77777777" w:rsidTr="00DC6FF8">
        <w:trPr>
          <w:trHeight w:val="58"/>
        </w:trPr>
        <w:tc>
          <w:tcPr>
            <w:tcW w:w="644" w:type="dxa"/>
          </w:tcPr>
          <w:p w14:paraId="7DBE7871" w14:textId="26E3C57E" w:rsidR="00BA6237" w:rsidRPr="00444429" w:rsidRDefault="00397F7A" w:rsidP="00DC6FF8">
            <w:pPr>
              <w:jc w:val="center"/>
              <w:rPr>
                <w:rFonts w:ascii="Times New Roman" w:hAnsi="Times New Roman" w:cs="Times New Roman"/>
                <w:i/>
                <w:iCs/>
                <w:color w:val="000000" w:themeColor="text1"/>
              </w:rPr>
            </w:pPr>
            <w:r w:rsidRPr="00444429">
              <w:rPr>
                <w:rFonts w:ascii="Times New Roman" w:hAnsi="Times New Roman" w:cs="Times New Roman"/>
                <w:i/>
                <w:iCs/>
                <w:color w:val="000000" w:themeColor="text1"/>
              </w:rPr>
              <w:t>1</w:t>
            </w:r>
          </w:p>
        </w:tc>
        <w:tc>
          <w:tcPr>
            <w:tcW w:w="6445" w:type="dxa"/>
          </w:tcPr>
          <w:p w14:paraId="0F1F9318" w14:textId="2D6D58DA" w:rsidR="00BA6237" w:rsidRPr="00444429"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Decree No. 273/2026/ND-CP dated 07 July 2026 on duty-free business (Issued on: 07 July 2026; Effective from: 21 August 2026)</w:t>
            </w:r>
          </w:p>
        </w:tc>
        <w:tc>
          <w:tcPr>
            <w:tcW w:w="7229" w:type="dxa"/>
          </w:tcPr>
          <w:p w14:paraId="495AC5ED" w14:textId="72553CA1" w:rsidR="00BA6237"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t>Decree No. 273/2026/ND-CP regulates eligible subjects, conditions, and purchase quantities for duty-free goods, as well as the management of goods at duty-free shops. It also provides regulations on customs procedures, changes in the purpose of use, and reporting and reconciliation requirements for import, export, and inventory of duty-free goods.</w:t>
            </w:r>
          </w:p>
        </w:tc>
      </w:tr>
      <w:tr w:rsidR="00412D76" w:rsidRPr="00444429" w14:paraId="0EAF44CD" w14:textId="77777777" w:rsidTr="00DC6FF8">
        <w:trPr>
          <w:trHeight w:val="700"/>
        </w:trPr>
        <w:tc>
          <w:tcPr>
            <w:tcW w:w="14318" w:type="dxa"/>
            <w:gridSpan w:val="3"/>
            <w:vAlign w:val="center"/>
          </w:tcPr>
          <w:p w14:paraId="744AD1CC" w14:textId="1156ACD5" w:rsidR="00BA6237" w:rsidRPr="00CA4D34" w:rsidRDefault="00FA59F0" w:rsidP="00DC6FF8">
            <w:pPr>
              <w:tabs>
                <w:tab w:val="left" w:pos="900"/>
              </w:tabs>
              <w:jc w:val="center"/>
              <w:rPr>
                <w:rFonts w:ascii="Times New Roman" w:hAnsi="Times New Roman" w:cs="Times New Roman"/>
                <w:b/>
                <w:bCs/>
                <w:i/>
                <w:iCs/>
                <w:color w:val="000000" w:themeColor="text1"/>
                <w:lang w:val="en-US"/>
              </w:rPr>
            </w:pPr>
            <w:r w:rsidRPr="00FA59F0">
              <w:rPr>
                <w:rFonts w:ascii="Times New Roman" w:hAnsi="Times New Roman" w:cs="Times New Roman"/>
                <w:b/>
                <w:bCs/>
                <w:i/>
                <w:iCs/>
                <w:color w:val="000000" w:themeColor="text1"/>
              </w:rPr>
              <w:t xml:space="preserve">PART II: </w:t>
            </w:r>
            <w:r w:rsidR="00D76AE5" w:rsidRPr="00D76AE5">
              <w:rPr>
                <w:rFonts w:ascii="Times New Roman" w:hAnsi="Times New Roman" w:cs="Times New Roman"/>
                <w:b/>
                <w:bCs/>
                <w:i/>
                <w:iCs/>
                <w:color w:val="000000" w:themeColor="text1"/>
              </w:rPr>
              <w:t>ACCOUNTING AND AUDITING POLICIES</w:t>
            </w:r>
          </w:p>
        </w:tc>
      </w:tr>
      <w:tr w:rsidR="00412D76" w:rsidRPr="00444429" w14:paraId="3006A3FA" w14:textId="77777777" w:rsidTr="00DC6FF8">
        <w:trPr>
          <w:trHeight w:val="58"/>
        </w:trPr>
        <w:tc>
          <w:tcPr>
            <w:tcW w:w="644" w:type="dxa"/>
          </w:tcPr>
          <w:p w14:paraId="16A3C6DB" w14:textId="2EB84EAC" w:rsidR="00BA6237" w:rsidRPr="00444429" w:rsidRDefault="00397F7A" w:rsidP="00DC6FF8">
            <w:pPr>
              <w:jc w:val="center"/>
              <w:rPr>
                <w:rFonts w:ascii="Times New Roman" w:hAnsi="Times New Roman" w:cs="Times New Roman"/>
                <w:i/>
                <w:iCs/>
                <w:color w:val="000000" w:themeColor="text1"/>
              </w:rPr>
            </w:pPr>
            <w:r w:rsidRPr="00444429">
              <w:rPr>
                <w:rFonts w:ascii="Times New Roman" w:hAnsi="Times New Roman" w:cs="Times New Roman"/>
                <w:i/>
                <w:iCs/>
                <w:color w:val="000000" w:themeColor="text1"/>
              </w:rPr>
              <w:t>1</w:t>
            </w:r>
          </w:p>
        </w:tc>
        <w:tc>
          <w:tcPr>
            <w:tcW w:w="6445" w:type="dxa"/>
          </w:tcPr>
          <w:p w14:paraId="24106D91" w14:textId="55002BB4" w:rsidR="00BA6237" w:rsidRPr="00444429"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Circular No. 27/2026/TT-NHNN dated 26 June 2026 amending Circular No. 51/2024/TT-NHNN on independent auditing of credit institutions and foreign bank branches (Issued on: 26 June 2026; Effective from: 10 August 2026)</w:t>
            </w:r>
          </w:p>
        </w:tc>
        <w:tc>
          <w:tcPr>
            <w:tcW w:w="7229" w:type="dxa"/>
          </w:tcPr>
          <w:p w14:paraId="25481B62" w14:textId="63788776" w:rsidR="00BA6237"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t>Circular No. 27/2026/TT-NHNN provides that the notice of selection of an audit organization must be submitted within 30 days and the audit results within 90 days. It also supplements the responsibilities of the State Bank of Vietnam in supervising, inspecting, and handling violations relating to independent auditing by auditors or audit organizations that violate applicable laws.</w:t>
            </w:r>
          </w:p>
        </w:tc>
      </w:tr>
      <w:tr w:rsidR="00412D76" w:rsidRPr="00444429" w14:paraId="0DDFADD2" w14:textId="77777777" w:rsidTr="00DC6FF8">
        <w:trPr>
          <w:trHeight w:val="752"/>
        </w:trPr>
        <w:tc>
          <w:tcPr>
            <w:tcW w:w="14318" w:type="dxa"/>
            <w:gridSpan w:val="3"/>
            <w:vAlign w:val="center"/>
          </w:tcPr>
          <w:p w14:paraId="1165EA71" w14:textId="22E28A0E" w:rsidR="00017241" w:rsidRPr="00444429" w:rsidRDefault="00FA59F0" w:rsidP="00DC6FF8">
            <w:pPr>
              <w:tabs>
                <w:tab w:val="left" w:pos="900"/>
              </w:tabs>
              <w:jc w:val="center"/>
              <w:rPr>
                <w:rFonts w:ascii="Times New Roman" w:hAnsi="Times New Roman" w:cs="Times New Roman"/>
                <w:b/>
                <w:bCs/>
                <w:i/>
                <w:iCs/>
                <w:color w:val="000000" w:themeColor="text1"/>
              </w:rPr>
            </w:pPr>
            <w:r w:rsidRPr="00FA59F0">
              <w:rPr>
                <w:rFonts w:ascii="Times New Roman" w:hAnsi="Times New Roman" w:cs="Times New Roman"/>
                <w:b/>
                <w:bCs/>
                <w:i/>
                <w:iCs/>
                <w:color w:val="000000" w:themeColor="text1"/>
              </w:rPr>
              <w:t xml:space="preserve">PART III: </w:t>
            </w:r>
            <w:r w:rsidR="00D76AE5" w:rsidRPr="00D76AE5">
              <w:rPr>
                <w:rFonts w:ascii="Times New Roman" w:hAnsi="Times New Roman" w:cs="Times New Roman"/>
                <w:b/>
                <w:bCs/>
                <w:i/>
                <w:iCs/>
                <w:color w:val="000000" w:themeColor="text1"/>
              </w:rPr>
              <w:t>ENTERPRISE, INVESTMENT AND COMMERCIAL POLICIES</w:t>
            </w:r>
          </w:p>
        </w:tc>
      </w:tr>
      <w:tr w:rsidR="00412D76" w:rsidRPr="00444429" w14:paraId="011788B9" w14:textId="77777777" w:rsidTr="00DC6FF8">
        <w:trPr>
          <w:trHeight w:val="58"/>
        </w:trPr>
        <w:tc>
          <w:tcPr>
            <w:tcW w:w="644" w:type="dxa"/>
          </w:tcPr>
          <w:p w14:paraId="58FAF635" w14:textId="29C73443" w:rsidR="00017241" w:rsidRPr="00444429" w:rsidRDefault="00017241" w:rsidP="00DC6FF8">
            <w:pPr>
              <w:jc w:val="center"/>
              <w:rPr>
                <w:rFonts w:ascii="Times New Roman" w:hAnsi="Times New Roman" w:cs="Times New Roman"/>
                <w:i/>
                <w:iCs/>
                <w:color w:val="000000" w:themeColor="text1"/>
              </w:rPr>
            </w:pPr>
            <w:r w:rsidRPr="00444429">
              <w:rPr>
                <w:rFonts w:ascii="Times New Roman" w:hAnsi="Times New Roman" w:cs="Times New Roman"/>
                <w:i/>
                <w:iCs/>
                <w:color w:val="000000" w:themeColor="text1"/>
              </w:rPr>
              <w:t>1</w:t>
            </w:r>
          </w:p>
        </w:tc>
        <w:tc>
          <w:tcPr>
            <w:tcW w:w="6445" w:type="dxa"/>
          </w:tcPr>
          <w:p w14:paraId="2EC42918" w14:textId="390C0FD5" w:rsidR="00017241" w:rsidRPr="00444429"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 xml:space="preserve">Circular No. 80/2026/TT-BTC dated 30 June 2026 amending Circular No. 19/2025/TT-BTC on registration of public </w:t>
            </w:r>
            <w:r w:rsidRPr="00D76AE5">
              <w:rPr>
                <w:rFonts w:ascii="Times New Roman" w:hAnsi="Times New Roman" w:cs="Times New Roman"/>
                <w:b/>
                <w:bCs/>
                <w:i/>
                <w:iCs/>
                <w:color w:val="000000" w:themeColor="text1"/>
              </w:rPr>
              <w:lastRenderedPageBreak/>
              <w:t>companies, cancellation of public company status, and audited reports on contributed charter capital (Issued on: 30 June 2026; Effective from: 16 August 2026)</w:t>
            </w:r>
          </w:p>
        </w:tc>
        <w:tc>
          <w:tcPr>
            <w:tcW w:w="7229" w:type="dxa"/>
          </w:tcPr>
          <w:p w14:paraId="36694F64" w14:textId="11995703" w:rsidR="00017241"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lastRenderedPageBreak/>
              <w:t xml:space="preserve">Circular No. 80/2026/TT-BTC simplifies procedures for registration and cancellation of public company status through electronic identification </w:t>
            </w:r>
            <w:r w:rsidRPr="00D76AE5">
              <w:rPr>
                <w:rFonts w:ascii="Times New Roman" w:hAnsi="Times New Roman" w:cs="Times New Roman"/>
                <w:i/>
                <w:iCs/>
                <w:color w:val="000000" w:themeColor="text1"/>
              </w:rPr>
              <w:lastRenderedPageBreak/>
              <w:t>and the National Database. It also specifies the timing, procedures, and deadlines for cancellation of public company status.</w:t>
            </w:r>
          </w:p>
        </w:tc>
      </w:tr>
      <w:tr w:rsidR="00412D76" w:rsidRPr="00444429" w14:paraId="2ED37038" w14:textId="77777777" w:rsidTr="00DC6FF8">
        <w:trPr>
          <w:trHeight w:val="58"/>
        </w:trPr>
        <w:tc>
          <w:tcPr>
            <w:tcW w:w="644" w:type="dxa"/>
          </w:tcPr>
          <w:p w14:paraId="334DDBA5" w14:textId="57C59A6C" w:rsidR="00090DEB" w:rsidRPr="00D76AE5" w:rsidRDefault="00D76AE5" w:rsidP="00DC6FF8">
            <w:pPr>
              <w:jc w:val="center"/>
              <w:rPr>
                <w:rFonts w:ascii="Times New Roman" w:hAnsi="Times New Roman" w:cs="Times New Roman"/>
                <w:i/>
                <w:iCs/>
                <w:color w:val="000000" w:themeColor="text1"/>
                <w:lang w:val="en-US"/>
              </w:rPr>
            </w:pPr>
            <w:r>
              <w:rPr>
                <w:rFonts w:ascii="Times New Roman" w:hAnsi="Times New Roman" w:cs="Times New Roman"/>
                <w:i/>
                <w:iCs/>
                <w:color w:val="000000" w:themeColor="text1"/>
                <w:lang w:val="en-US"/>
              </w:rPr>
              <w:lastRenderedPageBreak/>
              <w:t>2</w:t>
            </w:r>
          </w:p>
        </w:tc>
        <w:tc>
          <w:tcPr>
            <w:tcW w:w="6445" w:type="dxa"/>
          </w:tcPr>
          <w:p w14:paraId="4CF005C8" w14:textId="0D06F528" w:rsidR="00090DEB" w:rsidRPr="00444429"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Circular No. 32/2026/TT-NHNN dated 30 June 2026 on lending by credit institutions and foreign bank branches to customers for overseas investment (Issued on: 30 June 2026; Effective from: 18 August 2026)</w:t>
            </w:r>
          </w:p>
        </w:tc>
        <w:tc>
          <w:tcPr>
            <w:tcW w:w="7229" w:type="dxa"/>
          </w:tcPr>
          <w:p w14:paraId="2F1AB661" w14:textId="03C81E0B" w:rsidR="00090DEB"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t>Circular No. 32/2026/TT-NHNN sets out the conditions for loans for overseas investment and provides that the total loan commitment must not exceed 70% of the customer's overseas investment capital in the project.</w:t>
            </w:r>
          </w:p>
        </w:tc>
      </w:tr>
      <w:tr w:rsidR="00CA4D34" w:rsidRPr="00444429" w14:paraId="3BD00D71" w14:textId="77777777" w:rsidTr="00DC6FF8">
        <w:trPr>
          <w:trHeight w:val="58"/>
        </w:trPr>
        <w:tc>
          <w:tcPr>
            <w:tcW w:w="644" w:type="dxa"/>
          </w:tcPr>
          <w:p w14:paraId="48527470" w14:textId="52C217C5" w:rsidR="00CA4D34" w:rsidRPr="00CA4D34" w:rsidRDefault="00D76AE5" w:rsidP="00DC6FF8">
            <w:pPr>
              <w:jc w:val="center"/>
              <w:rPr>
                <w:rFonts w:ascii="Times New Roman" w:hAnsi="Times New Roman" w:cs="Times New Roman"/>
                <w:i/>
                <w:iCs/>
                <w:color w:val="000000" w:themeColor="text1"/>
                <w:lang w:val="en-US"/>
              </w:rPr>
            </w:pPr>
            <w:r>
              <w:rPr>
                <w:rFonts w:ascii="Times New Roman" w:hAnsi="Times New Roman" w:cs="Times New Roman"/>
                <w:i/>
                <w:iCs/>
                <w:color w:val="000000" w:themeColor="text1"/>
                <w:lang w:val="en-US"/>
              </w:rPr>
              <w:t>3</w:t>
            </w:r>
          </w:p>
        </w:tc>
        <w:tc>
          <w:tcPr>
            <w:tcW w:w="6445" w:type="dxa"/>
          </w:tcPr>
          <w:p w14:paraId="1E49B91E" w14:textId="5932DD77" w:rsidR="00CA4D34" w:rsidRPr="00CA4D34"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Decree No. 274/2026/ND-CP dated 07 July 2026 guiding the Law on Bidding on investor selection for investment and business projects (Issued on: 07 July 2026; Effective from: 21 August 2026)</w:t>
            </w:r>
          </w:p>
        </w:tc>
        <w:tc>
          <w:tcPr>
            <w:tcW w:w="7229" w:type="dxa"/>
          </w:tcPr>
          <w:p w14:paraId="0D4F71DE" w14:textId="2B778B68" w:rsidR="00CA4D34"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t>Decree No. 274/2026/ND-CP regulates projects subject to bidding for investor selection, evaluation criteria, and preferential adjustments of 2%–5%. A foreign investor winning a bid for a land-use project must establish an economic organization in Vietnam and hold 100% of its charter capital.</w:t>
            </w:r>
          </w:p>
        </w:tc>
      </w:tr>
      <w:tr w:rsidR="00CA4D34" w:rsidRPr="00444429" w14:paraId="0025F774" w14:textId="77777777" w:rsidTr="00DC6FF8">
        <w:trPr>
          <w:trHeight w:val="58"/>
        </w:trPr>
        <w:tc>
          <w:tcPr>
            <w:tcW w:w="644" w:type="dxa"/>
          </w:tcPr>
          <w:p w14:paraId="4376D0D7" w14:textId="7B16C80A" w:rsidR="00CA4D34" w:rsidRPr="00CA4D34" w:rsidRDefault="00D76AE5" w:rsidP="00DC6FF8">
            <w:pPr>
              <w:jc w:val="center"/>
              <w:rPr>
                <w:rFonts w:ascii="Times New Roman" w:hAnsi="Times New Roman" w:cs="Times New Roman"/>
                <w:i/>
                <w:iCs/>
                <w:color w:val="000000" w:themeColor="text1"/>
                <w:lang w:val="en-US"/>
              </w:rPr>
            </w:pPr>
            <w:r>
              <w:rPr>
                <w:rFonts w:ascii="Times New Roman" w:hAnsi="Times New Roman" w:cs="Times New Roman"/>
                <w:i/>
                <w:iCs/>
                <w:color w:val="000000" w:themeColor="text1"/>
                <w:lang w:val="en-US"/>
              </w:rPr>
              <w:t>4</w:t>
            </w:r>
          </w:p>
        </w:tc>
        <w:tc>
          <w:tcPr>
            <w:tcW w:w="6445" w:type="dxa"/>
          </w:tcPr>
          <w:p w14:paraId="4036ABD6" w14:textId="1443BE5A" w:rsidR="00CA4D34" w:rsidRPr="00CA4D34" w:rsidRDefault="00D76AE5" w:rsidP="00DC6FF8">
            <w:pPr>
              <w:tabs>
                <w:tab w:val="left" w:pos="900"/>
              </w:tabs>
              <w:jc w:val="both"/>
              <w:rPr>
                <w:rFonts w:ascii="Times New Roman" w:hAnsi="Times New Roman" w:cs="Times New Roman"/>
                <w:b/>
                <w:bCs/>
                <w:i/>
                <w:iCs/>
                <w:color w:val="000000" w:themeColor="text1"/>
              </w:rPr>
            </w:pPr>
            <w:r w:rsidRPr="00D76AE5">
              <w:rPr>
                <w:rFonts w:ascii="Times New Roman" w:hAnsi="Times New Roman" w:cs="Times New Roman"/>
                <w:b/>
                <w:bCs/>
                <w:i/>
                <w:iCs/>
                <w:color w:val="000000" w:themeColor="text1"/>
              </w:rPr>
              <w:t>Decision No. 32/2026/QD-TTg dated 29 June 2026 on the Vietnam Product Classification System (Issued on: 29 June 2026; Effective from: 14 August 2026)</w:t>
            </w:r>
          </w:p>
        </w:tc>
        <w:tc>
          <w:tcPr>
            <w:tcW w:w="7229" w:type="dxa"/>
          </w:tcPr>
          <w:p w14:paraId="0C6B0185" w14:textId="1A0848B4" w:rsidR="00CA4D34" w:rsidRPr="00FA59F0" w:rsidRDefault="00D76AE5" w:rsidP="00DC6FF8">
            <w:pPr>
              <w:jc w:val="both"/>
              <w:rPr>
                <w:rFonts w:ascii="Times New Roman" w:hAnsi="Times New Roman" w:cs="Times New Roman"/>
                <w:i/>
                <w:iCs/>
                <w:color w:val="000000" w:themeColor="text1"/>
              </w:rPr>
            </w:pPr>
            <w:r w:rsidRPr="00D76AE5">
              <w:rPr>
                <w:rFonts w:ascii="Times New Roman" w:hAnsi="Times New Roman" w:cs="Times New Roman"/>
                <w:i/>
                <w:iCs/>
                <w:color w:val="000000" w:themeColor="text1"/>
              </w:rPr>
              <w:t>Decision No. 32/2026/QD-TTg promulgates the Vietnam Product Classification System, consisting of 07 classification levels with 3,829 product industries at Level 7, replacing Decision No. 43/2018/QD-TTg.</w:t>
            </w:r>
          </w:p>
        </w:tc>
      </w:tr>
      <w:bookmarkEnd w:id="0"/>
    </w:tbl>
    <w:p w14:paraId="6DC0AB2C" w14:textId="77777777" w:rsidR="00412D76" w:rsidRPr="00444429" w:rsidRDefault="00412D76" w:rsidP="00DC6FF8">
      <w:pPr>
        <w:jc w:val="both"/>
        <w:rPr>
          <w:rFonts w:ascii="Times New Roman" w:hAnsi="Times New Roman" w:cs="Times New Roman"/>
          <w:b/>
          <w:bCs/>
          <w:i/>
          <w:iCs/>
          <w:color w:val="000000" w:themeColor="text1"/>
          <w:u w:val="single"/>
        </w:rPr>
      </w:pPr>
    </w:p>
    <w:p w14:paraId="527B6012" w14:textId="0E0ED118" w:rsidR="00017241" w:rsidRPr="00444429" w:rsidRDefault="00FA59F0" w:rsidP="00DC6FF8">
      <w:pPr>
        <w:jc w:val="both"/>
        <w:rPr>
          <w:rFonts w:ascii="Times New Roman" w:hAnsi="Times New Roman" w:cs="Times New Roman"/>
          <w:b/>
          <w:bCs/>
          <w:i/>
          <w:iCs/>
          <w:color w:val="000000" w:themeColor="text1"/>
          <w:u w:val="single"/>
        </w:rPr>
      </w:pPr>
      <w:r>
        <w:rPr>
          <w:rFonts w:ascii="Times New Roman" w:hAnsi="Times New Roman" w:cs="Times New Roman"/>
          <w:b/>
          <w:bCs/>
          <w:i/>
          <w:iCs/>
          <w:color w:val="000000" w:themeColor="text1"/>
          <w:u w:val="single"/>
          <w:lang w:val="en-US"/>
        </w:rPr>
        <w:t>G</w:t>
      </w:r>
      <w:r w:rsidRPr="00FA59F0">
        <w:rPr>
          <w:rFonts w:ascii="Times New Roman" w:hAnsi="Times New Roman" w:cs="Times New Roman"/>
          <w:b/>
          <w:bCs/>
          <w:i/>
          <w:iCs/>
          <w:color w:val="000000" w:themeColor="text1"/>
          <w:u w:val="single"/>
          <w:lang w:val="en-US"/>
        </w:rPr>
        <w:t>eneral note</w:t>
      </w:r>
      <w:r w:rsidR="00017241" w:rsidRPr="00444429">
        <w:rPr>
          <w:rFonts w:ascii="Times New Roman" w:hAnsi="Times New Roman" w:cs="Times New Roman"/>
          <w:b/>
          <w:bCs/>
          <w:i/>
          <w:iCs/>
          <w:color w:val="000000" w:themeColor="text1"/>
          <w:u w:val="single"/>
        </w:rPr>
        <w:t xml:space="preserve">: </w:t>
      </w:r>
    </w:p>
    <w:p w14:paraId="6B3A3CDD" w14:textId="04DADC7D" w:rsidR="00FA59F0" w:rsidRPr="00FA59F0" w:rsidRDefault="00FA59F0" w:rsidP="00DC6FF8">
      <w:pPr>
        <w:tabs>
          <w:tab w:val="left" w:pos="900"/>
        </w:tabs>
        <w:spacing w:after="0"/>
        <w:jc w:val="both"/>
        <w:rPr>
          <w:rFonts w:ascii="Times New Roman" w:hAnsi="Times New Roman" w:cs="Times New Roman"/>
          <w:i/>
          <w:iCs/>
          <w:color w:val="000000" w:themeColor="text1"/>
          <w:lang w:val="en-US"/>
        </w:rPr>
      </w:pPr>
      <w:r w:rsidRPr="00FA59F0">
        <w:rPr>
          <w:rFonts w:ascii="Times New Roman" w:hAnsi="Times New Roman" w:cs="Times New Roman"/>
          <w:i/>
          <w:iCs/>
          <w:color w:val="000000" w:themeColor="text1"/>
        </w:rPr>
        <w:t>This newsletter is for reference only – businesses or individuals should review the full text of the relevant legal documents and, where necessary, consult legal experts to ensure proper compliance with applicable regulations, procedures, and forms.</w:t>
      </w:r>
    </w:p>
    <w:sectPr w:rsidR="00FA59F0" w:rsidRPr="00FA59F0" w:rsidSect="00412D76">
      <w:pgSz w:w="15840" w:h="12240" w:orient="landscape"/>
      <w:pgMar w:top="709" w:right="1440" w:bottom="1134" w:left="1440" w:header="720" w:footer="32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64A1" w14:textId="77777777" w:rsidR="00EA10D6" w:rsidRDefault="00EA10D6" w:rsidP="00867E0B">
      <w:pPr>
        <w:spacing w:after="0" w:line="240" w:lineRule="auto"/>
      </w:pPr>
      <w:r>
        <w:separator/>
      </w:r>
    </w:p>
  </w:endnote>
  <w:endnote w:type="continuationSeparator" w:id="0">
    <w:p w14:paraId="3F38FD69" w14:textId="77777777" w:rsidR="00EA10D6" w:rsidRDefault="00EA10D6" w:rsidP="0086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43D59" w14:textId="77777777" w:rsidR="00EA10D6" w:rsidRDefault="00EA10D6" w:rsidP="00867E0B">
      <w:pPr>
        <w:spacing w:after="0" w:line="240" w:lineRule="auto"/>
      </w:pPr>
      <w:r>
        <w:separator/>
      </w:r>
    </w:p>
  </w:footnote>
  <w:footnote w:type="continuationSeparator" w:id="0">
    <w:p w14:paraId="0865DD96" w14:textId="77777777" w:rsidR="00EA10D6" w:rsidRDefault="00EA10D6" w:rsidP="00867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61C5"/>
    <w:multiLevelType w:val="multilevel"/>
    <w:tmpl w:val="300EF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700DA"/>
    <w:multiLevelType w:val="multilevel"/>
    <w:tmpl w:val="D3C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E3774"/>
    <w:multiLevelType w:val="multilevel"/>
    <w:tmpl w:val="2468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C3961"/>
    <w:multiLevelType w:val="multilevel"/>
    <w:tmpl w:val="DE10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323EF"/>
    <w:multiLevelType w:val="multilevel"/>
    <w:tmpl w:val="7398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15B59"/>
    <w:multiLevelType w:val="multilevel"/>
    <w:tmpl w:val="6922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73D9D"/>
    <w:multiLevelType w:val="multilevel"/>
    <w:tmpl w:val="F746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39258D"/>
    <w:multiLevelType w:val="multilevel"/>
    <w:tmpl w:val="AA5C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6660D"/>
    <w:multiLevelType w:val="multilevel"/>
    <w:tmpl w:val="74F6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04744"/>
    <w:multiLevelType w:val="multilevel"/>
    <w:tmpl w:val="8482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225D2"/>
    <w:multiLevelType w:val="multilevel"/>
    <w:tmpl w:val="27DA4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116D67"/>
    <w:multiLevelType w:val="multilevel"/>
    <w:tmpl w:val="D0F6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EB23B6"/>
    <w:multiLevelType w:val="multilevel"/>
    <w:tmpl w:val="65B41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D46FCB"/>
    <w:multiLevelType w:val="multilevel"/>
    <w:tmpl w:val="1DB6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0D6C47"/>
    <w:multiLevelType w:val="hybridMultilevel"/>
    <w:tmpl w:val="5AAE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DC7C5F"/>
    <w:multiLevelType w:val="multilevel"/>
    <w:tmpl w:val="E118F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AA78DE"/>
    <w:multiLevelType w:val="hybridMultilevel"/>
    <w:tmpl w:val="4894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22BE5"/>
    <w:multiLevelType w:val="hybridMultilevel"/>
    <w:tmpl w:val="6C68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082D42"/>
    <w:multiLevelType w:val="multilevel"/>
    <w:tmpl w:val="CC80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7027E"/>
    <w:multiLevelType w:val="multilevel"/>
    <w:tmpl w:val="85F0D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D47ACD"/>
    <w:multiLevelType w:val="multilevel"/>
    <w:tmpl w:val="E118F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43E70"/>
    <w:multiLevelType w:val="hybridMultilevel"/>
    <w:tmpl w:val="932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5503FF"/>
    <w:multiLevelType w:val="multilevel"/>
    <w:tmpl w:val="F26473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A221A9"/>
    <w:multiLevelType w:val="multilevel"/>
    <w:tmpl w:val="943C5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305D8C"/>
    <w:multiLevelType w:val="hybridMultilevel"/>
    <w:tmpl w:val="B95C7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937C3"/>
    <w:multiLevelType w:val="hybridMultilevel"/>
    <w:tmpl w:val="CBE6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959782">
    <w:abstractNumId w:val="22"/>
  </w:num>
  <w:num w:numId="2" w16cid:durableId="1507742462">
    <w:abstractNumId w:val="9"/>
  </w:num>
  <w:num w:numId="3" w16cid:durableId="756437690">
    <w:abstractNumId w:val="7"/>
  </w:num>
  <w:num w:numId="4" w16cid:durableId="539782218">
    <w:abstractNumId w:val="19"/>
  </w:num>
  <w:num w:numId="5" w16cid:durableId="106580943">
    <w:abstractNumId w:val="3"/>
  </w:num>
  <w:num w:numId="6" w16cid:durableId="1053962290">
    <w:abstractNumId w:val="4"/>
  </w:num>
  <w:num w:numId="7" w16cid:durableId="27725687">
    <w:abstractNumId w:val="8"/>
  </w:num>
  <w:num w:numId="8" w16cid:durableId="1606424883">
    <w:abstractNumId w:val="1"/>
  </w:num>
  <w:num w:numId="9" w16cid:durableId="37822841">
    <w:abstractNumId w:val="11"/>
  </w:num>
  <w:num w:numId="10" w16cid:durableId="2002738203">
    <w:abstractNumId w:val="18"/>
  </w:num>
  <w:num w:numId="11" w16cid:durableId="470173269">
    <w:abstractNumId w:val="6"/>
  </w:num>
  <w:num w:numId="12" w16cid:durableId="242571734">
    <w:abstractNumId w:val="13"/>
  </w:num>
  <w:num w:numId="13" w16cid:durableId="2024091622">
    <w:abstractNumId w:val="12"/>
  </w:num>
  <w:num w:numId="14" w16cid:durableId="974338928">
    <w:abstractNumId w:val="2"/>
  </w:num>
  <w:num w:numId="15" w16cid:durableId="1739748941">
    <w:abstractNumId w:val="0"/>
  </w:num>
  <w:num w:numId="16" w16cid:durableId="1850440671">
    <w:abstractNumId w:val="20"/>
  </w:num>
  <w:num w:numId="17" w16cid:durableId="159975252">
    <w:abstractNumId w:val="23"/>
  </w:num>
  <w:num w:numId="18" w16cid:durableId="2067490449">
    <w:abstractNumId w:val="10"/>
  </w:num>
  <w:num w:numId="19" w16cid:durableId="1190415203">
    <w:abstractNumId w:val="17"/>
  </w:num>
  <w:num w:numId="20" w16cid:durableId="1278369857">
    <w:abstractNumId w:val="21"/>
  </w:num>
  <w:num w:numId="21" w16cid:durableId="1895390016">
    <w:abstractNumId w:val="24"/>
  </w:num>
  <w:num w:numId="22" w16cid:durableId="561447523">
    <w:abstractNumId w:val="16"/>
  </w:num>
  <w:num w:numId="23" w16cid:durableId="1101998115">
    <w:abstractNumId w:val="25"/>
  </w:num>
  <w:num w:numId="24" w16cid:durableId="2141922601">
    <w:abstractNumId w:val="14"/>
  </w:num>
  <w:num w:numId="25" w16cid:durableId="195967160">
    <w:abstractNumId w:val="5"/>
  </w:num>
  <w:num w:numId="26" w16cid:durableId="7785741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7"/>
    <w:rsid w:val="00001EC3"/>
    <w:rsid w:val="00017241"/>
    <w:rsid w:val="00017823"/>
    <w:rsid w:val="0004219E"/>
    <w:rsid w:val="00042C5C"/>
    <w:rsid w:val="00070DE5"/>
    <w:rsid w:val="00080477"/>
    <w:rsid w:val="00090DEB"/>
    <w:rsid w:val="00091532"/>
    <w:rsid w:val="00097F5D"/>
    <w:rsid w:val="000B5F1D"/>
    <w:rsid w:val="000C39D9"/>
    <w:rsid w:val="000E4701"/>
    <w:rsid w:val="0010509E"/>
    <w:rsid w:val="00110987"/>
    <w:rsid w:val="00132D5A"/>
    <w:rsid w:val="00160874"/>
    <w:rsid w:val="001A133F"/>
    <w:rsid w:val="001F22CA"/>
    <w:rsid w:val="0020500C"/>
    <w:rsid w:val="00211C86"/>
    <w:rsid w:val="002225BB"/>
    <w:rsid w:val="002366F3"/>
    <w:rsid w:val="00254965"/>
    <w:rsid w:val="0028569A"/>
    <w:rsid w:val="0029414F"/>
    <w:rsid w:val="002B1FDB"/>
    <w:rsid w:val="003032DA"/>
    <w:rsid w:val="00304768"/>
    <w:rsid w:val="00311CCE"/>
    <w:rsid w:val="003557B6"/>
    <w:rsid w:val="003907D5"/>
    <w:rsid w:val="00397F7A"/>
    <w:rsid w:val="003B02DF"/>
    <w:rsid w:val="003D61C1"/>
    <w:rsid w:val="003E58D5"/>
    <w:rsid w:val="003F5891"/>
    <w:rsid w:val="00411D9F"/>
    <w:rsid w:val="00412D76"/>
    <w:rsid w:val="00425F6B"/>
    <w:rsid w:val="00433C0F"/>
    <w:rsid w:val="00433F3C"/>
    <w:rsid w:val="00444429"/>
    <w:rsid w:val="00497F7A"/>
    <w:rsid w:val="004A6509"/>
    <w:rsid w:val="004A65AB"/>
    <w:rsid w:val="004C4579"/>
    <w:rsid w:val="004D1DA4"/>
    <w:rsid w:val="004D7ED5"/>
    <w:rsid w:val="00503178"/>
    <w:rsid w:val="00522170"/>
    <w:rsid w:val="005671EA"/>
    <w:rsid w:val="00584194"/>
    <w:rsid w:val="0059507D"/>
    <w:rsid w:val="006070DF"/>
    <w:rsid w:val="00607C1B"/>
    <w:rsid w:val="006219AF"/>
    <w:rsid w:val="00657EF3"/>
    <w:rsid w:val="00675912"/>
    <w:rsid w:val="00684B30"/>
    <w:rsid w:val="006D620D"/>
    <w:rsid w:val="006F55CC"/>
    <w:rsid w:val="00704566"/>
    <w:rsid w:val="00787FB2"/>
    <w:rsid w:val="00790771"/>
    <w:rsid w:val="00795AC6"/>
    <w:rsid w:val="007F04C0"/>
    <w:rsid w:val="00867D2F"/>
    <w:rsid w:val="00867E0B"/>
    <w:rsid w:val="008863D4"/>
    <w:rsid w:val="008B23BE"/>
    <w:rsid w:val="008B3AB2"/>
    <w:rsid w:val="008B40A1"/>
    <w:rsid w:val="008D5DD9"/>
    <w:rsid w:val="00907757"/>
    <w:rsid w:val="009150E2"/>
    <w:rsid w:val="009428CC"/>
    <w:rsid w:val="009523F6"/>
    <w:rsid w:val="00972C49"/>
    <w:rsid w:val="009D1EC7"/>
    <w:rsid w:val="009E4810"/>
    <w:rsid w:val="00A41324"/>
    <w:rsid w:val="00A62DA3"/>
    <w:rsid w:val="00A67F61"/>
    <w:rsid w:val="00A849FD"/>
    <w:rsid w:val="00A931C5"/>
    <w:rsid w:val="00AB10E4"/>
    <w:rsid w:val="00B04A55"/>
    <w:rsid w:val="00B17517"/>
    <w:rsid w:val="00B20571"/>
    <w:rsid w:val="00B24360"/>
    <w:rsid w:val="00B82A65"/>
    <w:rsid w:val="00BA6237"/>
    <w:rsid w:val="00BA6ACD"/>
    <w:rsid w:val="00C26E68"/>
    <w:rsid w:val="00C80396"/>
    <w:rsid w:val="00C852EC"/>
    <w:rsid w:val="00CA4D34"/>
    <w:rsid w:val="00CB2A36"/>
    <w:rsid w:val="00CC3960"/>
    <w:rsid w:val="00CD408C"/>
    <w:rsid w:val="00CE3A22"/>
    <w:rsid w:val="00D01A45"/>
    <w:rsid w:val="00D21424"/>
    <w:rsid w:val="00D76AE5"/>
    <w:rsid w:val="00D87F14"/>
    <w:rsid w:val="00D97C09"/>
    <w:rsid w:val="00DA5AE8"/>
    <w:rsid w:val="00DC6FF8"/>
    <w:rsid w:val="00DD2F7C"/>
    <w:rsid w:val="00DE22E5"/>
    <w:rsid w:val="00E055C7"/>
    <w:rsid w:val="00E27692"/>
    <w:rsid w:val="00E46D89"/>
    <w:rsid w:val="00E97830"/>
    <w:rsid w:val="00EA10D6"/>
    <w:rsid w:val="00EB1B79"/>
    <w:rsid w:val="00EE10FE"/>
    <w:rsid w:val="00EE1C31"/>
    <w:rsid w:val="00F173A2"/>
    <w:rsid w:val="00F22DA8"/>
    <w:rsid w:val="00F32D48"/>
    <w:rsid w:val="00F80D9A"/>
    <w:rsid w:val="00F80E29"/>
    <w:rsid w:val="00F84A28"/>
    <w:rsid w:val="00FA59F0"/>
    <w:rsid w:val="00FB0792"/>
    <w:rsid w:val="00FC6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32E80"/>
  <w15:chartTrackingRefBased/>
  <w15:docId w15:val="{5ED739A8-A6A3-4E8A-8AB9-CFFFB6BC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757"/>
    <w:rPr>
      <w:lang w:val="vi-VN"/>
    </w:rPr>
  </w:style>
  <w:style w:type="paragraph" w:styleId="Heading1">
    <w:name w:val="heading 1"/>
    <w:basedOn w:val="Normal"/>
    <w:next w:val="Normal"/>
    <w:link w:val="Heading1Char"/>
    <w:uiPriority w:val="9"/>
    <w:qFormat/>
    <w:rsid w:val="00907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7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77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77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77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7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7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77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77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77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77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7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757"/>
    <w:rPr>
      <w:rFonts w:eastAsiaTheme="majorEastAsia" w:cstheme="majorBidi"/>
      <w:color w:val="272727" w:themeColor="text1" w:themeTint="D8"/>
    </w:rPr>
  </w:style>
  <w:style w:type="paragraph" w:styleId="Title">
    <w:name w:val="Title"/>
    <w:basedOn w:val="Normal"/>
    <w:next w:val="Normal"/>
    <w:link w:val="TitleChar"/>
    <w:uiPriority w:val="10"/>
    <w:qFormat/>
    <w:rsid w:val="00907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757"/>
    <w:pPr>
      <w:spacing w:before="160"/>
      <w:jc w:val="center"/>
    </w:pPr>
    <w:rPr>
      <w:i/>
      <w:iCs/>
      <w:color w:val="404040" w:themeColor="text1" w:themeTint="BF"/>
    </w:rPr>
  </w:style>
  <w:style w:type="character" w:customStyle="1" w:styleId="QuoteChar">
    <w:name w:val="Quote Char"/>
    <w:basedOn w:val="DefaultParagraphFont"/>
    <w:link w:val="Quote"/>
    <w:uiPriority w:val="29"/>
    <w:rsid w:val="00907757"/>
    <w:rPr>
      <w:i/>
      <w:iCs/>
      <w:color w:val="404040" w:themeColor="text1" w:themeTint="BF"/>
    </w:rPr>
  </w:style>
  <w:style w:type="paragraph" w:styleId="ListParagraph">
    <w:name w:val="List Paragraph"/>
    <w:basedOn w:val="Normal"/>
    <w:uiPriority w:val="34"/>
    <w:qFormat/>
    <w:rsid w:val="00907757"/>
    <w:pPr>
      <w:ind w:left="720"/>
      <w:contextualSpacing/>
    </w:pPr>
  </w:style>
  <w:style w:type="character" w:styleId="IntenseEmphasis">
    <w:name w:val="Intense Emphasis"/>
    <w:basedOn w:val="DefaultParagraphFont"/>
    <w:uiPriority w:val="21"/>
    <w:qFormat/>
    <w:rsid w:val="00907757"/>
    <w:rPr>
      <w:i/>
      <w:iCs/>
      <w:color w:val="2F5496" w:themeColor="accent1" w:themeShade="BF"/>
    </w:rPr>
  </w:style>
  <w:style w:type="paragraph" w:styleId="IntenseQuote">
    <w:name w:val="Intense Quote"/>
    <w:basedOn w:val="Normal"/>
    <w:next w:val="Normal"/>
    <w:link w:val="IntenseQuoteChar"/>
    <w:uiPriority w:val="30"/>
    <w:qFormat/>
    <w:rsid w:val="00907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7757"/>
    <w:rPr>
      <w:i/>
      <w:iCs/>
      <w:color w:val="2F5496" w:themeColor="accent1" w:themeShade="BF"/>
    </w:rPr>
  </w:style>
  <w:style w:type="character" w:styleId="IntenseReference">
    <w:name w:val="Intense Reference"/>
    <w:basedOn w:val="DefaultParagraphFont"/>
    <w:uiPriority w:val="32"/>
    <w:qFormat/>
    <w:rsid w:val="00907757"/>
    <w:rPr>
      <w:b/>
      <w:bCs/>
      <w:smallCaps/>
      <w:color w:val="2F5496" w:themeColor="accent1" w:themeShade="BF"/>
      <w:spacing w:val="5"/>
    </w:rPr>
  </w:style>
  <w:style w:type="character" w:styleId="Hyperlink">
    <w:name w:val="Hyperlink"/>
    <w:basedOn w:val="DefaultParagraphFont"/>
    <w:uiPriority w:val="99"/>
    <w:unhideWhenUsed/>
    <w:rsid w:val="00907757"/>
    <w:rPr>
      <w:color w:val="0563C1" w:themeColor="hyperlink"/>
      <w:u w:val="single"/>
    </w:rPr>
  </w:style>
  <w:style w:type="character" w:styleId="UnresolvedMention">
    <w:name w:val="Unresolved Mention"/>
    <w:basedOn w:val="DefaultParagraphFont"/>
    <w:uiPriority w:val="99"/>
    <w:semiHidden/>
    <w:unhideWhenUsed/>
    <w:rsid w:val="00907757"/>
    <w:rPr>
      <w:color w:val="605E5C"/>
      <w:shd w:val="clear" w:color="auto" w:fill="E1DFDD"/>
    </w:rPr>
  </w:style>
  <w:style w:type="paragraph" w:styleId="NormalWeb">
    <w:name w:val="Normal (Web)"/>
    <w:basedOn w:val="Normal"/>
    <w:uiPriority w:val="99"/>
    <w:semiHidden/>
    <w:unhideWhenUsed/>
    <w:rsid w:val="00907757"/>
    <w:rPr>
      <w:rFonts w:ascii="Times New Roman" w:hAnsi="Times New Roman" w:cs="Times New Roman"/>
    </w:rPr>
  </w:style>
  <w:style w:type="table" w:styleId="TableGrid">
    <w:name w:val="Table Grid"/>
    <w:basedOn w:val="TableNormal"/>
    <w:uiPriority w:val="39"/>
    <w:rsid w:val="00CD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3AB2"/>
    <w:rPr>
      <w:sz w:val="16"/>
      <w:szCs w:val="16"/>
    </w:rPr>
  </w:style>
  <w:style w:type="paragraph" w:styleId="CommentText">
    <w:name w:val="annotation text"/>
    <w:basedOn w:val="Normal"/>
    <w:link w:val="CommentTextChar"/>
    <w:uiPriority w:val="99"/>
    <w:semiHidden/>
    <w:unhideWhenUsed/>
    <w:rsid w:val="008B3AB2"/>
    <w:pPr>
      <w:spacing w:line="240" w:lineRule="auto"/>
    </w:pPr>
    <w:rPr>
      <w:sz w:val="20"/>
      <w:szCs w:val="20"/>
    </w:rPr>
  </w:style>
  <w:style w:type="character" w:customStyle="1" w:styleId="CommentTextChar">
    <w:name w:val="Comment Text Char"/>
    <w:basedOn w:val="DefaultParagraphFont"/>
    <w:link w:val="CommentText"/>
    <w:uiPriority w:val="99"/>
    <w:semiHidden/>
    <w:rsid w:val="008B3AB2"/>
    <w:rPr>
      <w:sz w:val="20"/>
      <w:szCs w:val="20"/>
      <w:lang w:val="vi-VN"/>
    </w:rPr>
  </w:style>
  <w:style w:type="paragraph" w:styleId="CommentSubject">
    <w:name w:val="annotation subject"/>
    <w:basedOn w:val="CommentText"/>
    <w:next w:val="CommentText"/>
    <w:link w:val="CommentSubjectChar"/>
    <w:uiPriority w:val="99"/>
    <w:semiHidden/>
    <w:unhideWhenUsed/>
    <w:rsid w:val="008B3AB2"/>
    <w:rPr>
      <w:b/>
      <w:bCs/>
    </w:rPr>
  </w:style>
  <w:style w:type="character" w:customStyle="1" w:styleId="CommentSubjectChar">
    <w:name w:val="Comment Subject Char"/>
    <w:basedOn w:val="CommentTextChar"/>
    <w:link w:val="CommentSubject"/>
    <w:uiPriority w:val="99"/>
    <w:semiHidden/>
    <w:rsid w:val="008B3AB2"/>
    <w:rPr>
      <w:b/>
      <w:bCs/>
      <w:sz w:val="20"/>
      <w:szCs w:val="20"/>
      <w:lang w:val="vi-VN"/>
    </w:rPr>
  </w:style>
  <w:style w:type="paragraph" w:styleId="Header">
    <w:name w:val="header"/>
    <w:basedOn w:val="Normal"/>
    <w:link w:val="HeaderChar"/>
    <w:uiPriority w:val="99"/>
    <w:unhideWhenUsed/>
    <w:rsid w:val="00867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E0B"/>
    <w:rPr>
      <w:lang w:val="vi-VN"/>
    </w:rPr>
  </w:style>
  <w:style w:type="paragraph" w:styleId="Footer">
    <w:name w:val="footer"/>
    <w:basedOn w:val="Normal"/>
    <w:link w:val="FooterChar"/>
    <w:uiPriority w:val="99"/>
    <w:unhideWhenUsed/>
    <w:rsid w:val="00867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E0B"/>
    <w:rPr>
      <w:lang w:val="vi-VN"/>
    </w:rPr>
  </w:style>
  <w:style w:type="character" w:styleId="Strong">
    <w:name w:val="Strong"/>
    <w:basedOn w:val="DefaultParagraphFont"/>
    <w:uiPriority w:val="22"/>
    <w:qFormat/>
    <w:rsid w:val="00CA4D34"/>
    <w:rPr>
      <w:b/>
      <w:bCs/>
    </w:rPr>
  </w:style>
  <w:style w:type="character" w:styleId="Emphasis">
    <w:name w:val="Emphasis"/>
    <w:basedOn w:val="DefaultParagraphFont"/>
    <w:uiPriority w:val="20"/>
    <w:qFormat/>
    <w:rsid w:val="00CA4D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Sam</dc:creator>
  <cp:keywords/>
  <dc:description/>
  <cp:lastModifiedBy>Sam Sam</cp:lastModifiedBy>
  <cp:revision>3</cp:revision>
  <dcterms:created xsi:type="dcterms:W3CDTF">2026-09-23T03:13:00Z</dcterms:created>
  <dcterms:modified xsi:type="dcterms:W3CDTF">2026-09-23T03:17:00Z</dcterms:modified>
</cp:coreProperties>
</file>